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112532" w:rsidRPr="00112532" w:rsidTr="00112532">
        <w:trPr>
          <w:tblCellSpacing w:w="0" w:type="dxa"/>
        </w:trPr>
        <w:tc>
          <w:tcPr>
            <w:tcW w:w="0" w:type="auto"/>
            <w:vAlign w:val="center"/>
            <w:hideMark/>
          </w:tcPr>
          <w:p w:rsidR="00112532" w:rsidRDefault="00112532" w:rsidP="00112532">
            <w:pPr>
              <w:spacing w:after="0" w:line="240" w:lineRule="auto"/>
              <w:jc w:val="center"/>
              <w:rPr>
                <w:rFonts w:ascii="Times New Roman" w:eastAsia="Times New Roman" w:hAnsi="Times New Roman" w:cs="Times New Roman"/>
                <w:color w:val="FF0000"/>
                <w:sz w:val="44"/>
                <w:szCs w:val="44"/>
                <w:u w:val="single"/>
              </w:rPr>
            </w:pPr>
            <w:r w:rsidRPr="00112532">
              <w:rPr>
                <w:rFonts w:ascii="Times New Roman" w:eastAsia="Times New Roman" w:hAnsi="Times New Roman" w:cs="Times New Roman"/>
                <w:color w:val="FF0000"/>
                <w:sz w:val="44"/>
                <w:szCs w:val="44"/>
                <w:u w:val="single"/>
              </w:rPr>
              <w:t>Sealed Linear Encoders</w:t>
            </w:r>
          </w:p>
          <w:p w:rsidR="001024A8" w:rsidRDefault="001024A8" w:rsidP="00112532">
            <w:pPr>
              <w:spacing w:after="0" w:line="240" w:lineRule="auto"/>
              <w:jc w:val="center"/>
              <w:rPr>
                <w:rFonts w:ascii="Times New Roman" w:eastAsia="Times New Roman" w:hAnsi="Times New Roman" w:cs="Times New Roman"/>
                <w:color w:val="FF0000"/>
                <w:sz w:val="44"/>
                <w:szCs w:val="44"/>
                <w:u w:val="single"/>
              </w:rPr>
            </w:pPr>
          </w:p>
          <w:p w:rsidR="001024A8" w:rsidRDefault="001024A8" w:rsidP="00112532">
            <w:pPr>
              <w:spacing w:after="0" w:line="240" w:lineRule="auto"/>
              <w:jc w:val="center"/>
              <w:rPr>
                <w:rFonts w:ascii="Times New Roman" w:eastAsia="Times New Roman" w:hAnsi="Times New Roman" w:cs="Times New Roman"/>
                <w:color w:val="FF0000"/>
                <w:sz w:val="44"/>
                <w:szCs w:val="44"/>
                <w:u w:val="single"/>
              </w:rPr>
            </w:pPr>
          </w:p>
          <w:p w:rsidR="001024A8" w:rsidRDefault="001024A8" w:rsidP="00112532">
            <w:pPr>
              <w:spacing w:after="0" w:line="240" w:lineRule="auto"/>
              <w:jc w:val="center"/>
              <w:rPr>
                <w:rFonts w:ascii="Times New Roman" w:eastAsia="Times New Roman" w:hAnsi="Times New Roman" w:cs="Times New Roman"/>
                <w:color w:val="FF0000"/>
                <w:sz w:val="44"/>
                <w:szCs w:val="44"/>
                <w:u w:val="single"/>
              </w:rPr>
            </w:pPr>
            <w:r>
              <w:rPr>
                <w:rFonts w:ascii="Times New Roman" w:eastAsia="Times New Roman" w:hAnsi="Times New Roman" w:cs="Times New Roman"/>
                <w:noProof/>
                <w:color w:val="FF0000"/>
                <w:sz w:val="44"/>
                <w:szCs w:val="44"/>
                <w:u w:val="single"/>
              </w:rPr>
              <w:drawing>
                <wp:inline distT="0" distB="0" distL="0" distR="0">
                  <wp:extent cx="3577135" cy="2635784"/>
                  <wp:effectExtent l="19050" t="0" r="4265" b="0"/>
                  <wp:docPr id="1" name="Picture 0" descr="lmg_show_en_189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g_show_en_189113.jpg"/>
                          <pic:cNvPicPr/>
                        </pic:nvPicPr>
                        <pic:blipFill>
                          <a:blip r:embed="rId4"/>
                          <a:stretch>
                            <a:fillRect/>
                          </a:stretch>
                        </pic:blipFill>
                        <pic:spPr>
                          <a:xfrm>
                            <a:off x="0" y="0"/>
                            <a:ext cx="3578260" cy="2636613"/>
                          </a:xfrm>
                          <a:prstGeom prst="rect">
                            <a:avLst/>
                          </a:prstGeom>
                        </pic:spPr>
                      </pic:pic>
                    </a:graphicData>
                  </a:graphic>
                </wp:inline>
              </w:drawing>
            </w:r>
          </w:p>
          <w:p w:rsidR="001024A8" w:rsidRPr="00112532" w:rsidRDefault="001024A8" w:rsidP="00112532">
            <w:pPr>
              <w:spacing w:after="0" w:line="240" w:lineRule="auto"/>
              <w:jc w:val="center"/>
              <w:rPr>
                <w:rFonts w:ascii="Times New Roman" w:eastAsia="Times New Roman" w:hAnsi="Times New Roman" w:cs="Times New Roman"/>
                <w:color w:val="FF0000"/>
                <w:sz w:val="44"/>
                <w:szCs w:val="44"/>
                <w:u w:val="single"/>
              </w:rPr>
            </w:pPr>
          </w:p>
        </w:tc>
      </w:tr>
    </w:tbl>
    <w:p w:rsidR="00112532" w:rsidRPr="00112532" w:rsidRDefault="00112532" w:rsidP="00112532">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112532" w:rsidRPr="00112532" w:rsidTr="001024A8">
        <w:trPr>
          <w:trHeight w:val="150"/>
          <w:tblCellSpacing w:w="0" w:type="dxa"/>
        </w:trPr>
        <w:tc>
          <w:tcPr>
            <w:tcW w:w="0" w:type="auto"/>
            <w:vAlign w:val="center"/>
            <w:hideMark/>
          </w:tcPr>
          <w:p w:rsidR="00112532" w:rsidRPr="00112532" w:rsidRDefault="00112532" w:rsidP="00112532">
            <w:pPr>
              <w:spacing w:after="0" w:line="240" w:lineRule="auto"/>
              <w:rPr>
                <w:rFonts w:ascii="Times New Roman" w:eastAsia="Times New Roman" w:hAnsi="Times New Roman" w:cs="Times New Roman"/>
                <w:sz w:val="16"/>
                <w:szCs w:val="24"/>
              </w:rPr>
            </w:pPr>
          </w:p>
        </w:tc>
      </w:tr>
    </w:tbl>
    <w:p w:rsidR="00112532" w:rsidRPr="00112532" w:rsidRDefault="00112532" w:rsidP="00112532">
      <w:pPr>
        <w:spacing w:after="0" w:line="240" w:lineRule="auto"/>
        <w:rPr>
          <w:rFonts w:ascii="Times New Roman" w:eastAsia="Times New Roman" w:hAnsi="Times New Roman" w:cs="Times New Roman"/>
          <w:vanish/>
          <w:sz w:val="24"/>
          <w:szCs w:val="24"/>
        </w:rPr>
      </w:pPr>
    </w:p>
    <w:tbl>
      <w:tblPr>
        <w:tblW w:w="7125" w:type="dxa"/>
        <w:tblCellSpacing w:w="0" w:type="dxa"/>
        <w:tblCellMar>
          <w:left w:w="0" w:type="dxa"/>
          <w:right w:w="0" w:type="dxa"/>
        </w:tblCellMar>
        <w:tblLook w:val="04A0"/>
      </w:tblPr>
      <w:tblGrid>
        <w:gridCol w:w="7125"/>
      </w:tblGrid>
      <w:tr w:rsidR="00112532" w:rsidRPr="00112532" w:rsidTr="00112532">
        <w:trPr>
          <w:tblCellSpacing w:w="0" w:type="dxa"/>
        </w:trPr>
        <w:tc>
          <w:tcPr>
            <w:tcW w:w="0" w:type="auto"/>
            <w:vAlign w:val="center"/>
            <w:hideMark/>
          </w:tcPr>
          <w:p w:rsidR="00112532" w:rsidRPr="00112532" w:rsidRDefault="00112532" w:rsidP="001024A8">
            <w:pPr>
              <w:spacing w:after="0" w:line="240" w:lineRule="auto"/>
              <w:rPr>
                <w:rFonts w:ascii="Times New Roman" w:eastAsia="Times New Roman" w:hAnsi="Times New Roman" w:cs="Times New Roman"/>
                <w:sz w:val="24"/>
                <w:szCs w:val="24"/>
              </w:rPr>
            </w:pPr>
            <w:r w:rsidRPr="00112532">
              <w:rPr>
                <w:rFonts w:ascii="Times New Roman" w:eastAsia="Times New Roman" w:hAnsi="Times New Roman" w:cs="Times New Roman"/>
                <w:sz w:val="24"/>
                <w:szCs w:val="24"/>
              </w:rPr>
              <w:t xml:space="preserve">Sealed linear encoders from HEIDENHAIN are protected from dust, chips and splash fluids and are ideal for operation on machine tools. An aluminum housing and elastic sealing lips protect the scale, scanning carriage and </w:t>
            </w:r>
            <w:proofErr w:type="spellStart"/>
            <w:r w:rsidRPr="00112532">
              <w:rPr>
                <w:rFonts w:ascii="Times New Roman" w:eastAsia="Times New Roman" w:hAnsi="Times New Roman" w:cs="Times New Roman"/>
                <w:sz w:val="24"/>
                <w:szCs w:val="24"/>
              </w:rPr>
              <w:t>guideway</w:t>
            </w:r>
            <w:proofErr w:type="spellEnd"/>
            <w:r w:rsidRPr="00112532">
              <w:rPr>
                <w:rFonts w:ascii="Times New Roman" w:eastAsia="Times New Roman" w:hAnsi="Times New Roman" w:cs="Times New Roman"/>
                <w:sz w:val="24"/>
                <w:szCs w:val="24"/>
              </w:rPr>
              <w:t xml:space="preserve"> from chips, </w:t>
            </w:r>
            <w:proofErr w:type="spellStart"/>
            <w:r w:rsidRPr="00112532">
              <w:rPr>
                <w:rFonts w:ascii="Times New Roman" w:eastAsia="Times New Roman" w:hAnsi="Times New Roman" w:cs="Times New Roman"/>
                <w:sz w:val="24"/>
                <w:szCs w:val="24"/>
              </w:rPr>
              <w:t>swarf</w:t>
            </w:r>
            <w:proofErr w:type="spellEnd"/>
            <w:r w:rsidRPr="00112532">
              <w:rPr>
                <w:rFonts w:ascii="Times New Roman" w:eastAsia="Times New Roman" w:hAnsi="Times New Roman" w:cs="Times New Roman"/>
                <w:sz w:val="24"/>
                <w:szCs w:val="24"/>
              </w:rPr>
              <w:t xml:space="preserve">, dirt and </w:t>
            </w:r>
            <w:proofErr w:type="spellStart"/>
            <w:r w:rsidRPr="00112532">
              <w:rPr>
                <w:rFonts w:ascii="Times New Roman" w:eastAsia="Times New Roman" w:hAnsi="Times New Roman" w:cs="Times New Roman"/>
                <w:sz w:val="24"/>
                <w:szCs w:val="24"/>
              </w:rPr>
              <w:t>splashwater</w:t>
            </w:r>
            <w:proofErr w:type="spellEnd"/>
            <w:r w:rsidRPr="00112532">
              <w:rPr>
                <w:rFonts w:ascii="Times New Roman" w:eastAsia="Times New Roman" w:hAnsi="Times New Roman" w:cs="Times New Roman"/>
                <w:sz w:val="24"/>
                <w:szCs w:val="24"/>
              </w:rPr>
              <w:t xml:space="preserve"> The scanning carriage travels in a low-friction guide within the scale unit. It is connected to the external mounting block by a coupling that compensates unavoidable misalignment between the scale and the machine </w:t>
            </w:r>
            <w:proofErr w:type="spellStart"/>
            <w:r w:rsidRPr="00112532">
              <w:rPr>
                <w:rFonts w:ascii="Times New Roman" w:eastAsia="Times New Roman" w:hAnsi="Times New Roman" w:cs="Times New Roman"/>
                <w:sz w:val="24"/>
                <w:szCs w:val="24"/>
              </w:rPr>
              <w:t>guideways</w:t>
            </w:r>
            <w:proofErr w:type="spellEnd"/>
            <w:r w:rsidRPr="00112532">
              <w:rPr>
                <w:rFonts w:ascii="Times New Roman" w:eastAsia="Times New Roman" w:hAnsi="Times New Roman" w:cs="Times New Roman"/>
                <w:sz w:val="24"/>
                <w:szCs w:val="24"/>
              </w:rPr>
              <w:t>.</w:t>
            </w:r>
            <w:r w:rsidRPr="00112532">
              <w:rPr>
                <w:rFonts w:ascii="Times New Roman" w:eastAsia="Times New Roman" w:hAnsi="Times New Roman" w:cs="Times New Roman"/>
                <w:sz w:val="24"/>
                <w:szCs w:val="24"/>
              </w:rPr>
              <w:br/>
              <w:t xml:space="preserve">Sealed linear encoders are available with full-size scale housings for high resistance to vibration up to 30 m measuring length, as well as </w:t>
            </w:r>
            <w:proofErr w:type="spellStart"/>
            <w:r w:rsidRPr="00112532">
              <w:rPr>
                <w:rFonts w:ascii="Times New Roman" w:eastAsia="Times New Roman" w:hAnsi="Times New Roman" w:cs="Times New Roman"/>
                <w:sz w:val="24"/>
                <w:szCs w:val="24"/>
              </w:rPr>
              <w:t>slimline</w:t>
            </w:r>
            <w:proofErr w:type="spellEnd"/>
            <w:r w:rsidRPr="00112532">
              <w:rPr>
                <w:rFonts w:ascii="Times New Roman" w:eastAsia="Times New Roman" w:hAnsi="Times New Roman" w:cs="Times New Roman"/>
                <w:sz w:val="24"/>
                <w:szCs w:val="24"/>
              </w:rPr>
              <w:t xml:space="preserve"> scale housing for limited installation space up to 2040 mm measuring length.</w:t>
            </w:r>
          </w:p>
        </w:tc>
      </w:tr>
      <w:tr w:rsidR="001024A8" w:rsidRPr="00112532" w:rsidTr="00112532">
        <w:trPr>
          <w:tblCellSpacing w:w="0" w:type="dxa"/>
        </w:trPr>
        <w:tc>
          <w:tcPr>
            <w:tcW w:w="0" w:type="auto"/>
            <w:vAlign w:val="center"/>
          </w:tcPr>
          <w:p w:rsidR="001024A8" w:rsidRPr="00112532" w:rsidRDefault="001024A8" w:rsidP="001024A8">
            <w:pPr>
              <w:spacing w:after="0" w:line="240" w:lineRule="auto"/>
              <w:jc w:val="center"/>
              <w:rPr>
                <w:rFonts w:ascii="Times New Roman" w:eastAsia="Times New Roman" w:hAnsi="Times New Roman" w:cs="Times New Roman"/>
                <w:sz w:val="24"/>
                <w:szCs w:val="24"/>
              </w:rPr>
            </w:pPr>
          </w:p>
        </w:tc>
      </w:tr>
    </w:tbl>
    <w:p w:rsidR="00C249D7" w:rsidRPr="005430C9" w:rsidRDefault="005430C9">
      <w:pPr>
        <w:rPr>
          <w:color w:val="C00000"/>
          <w:sz w:val="44"/>
          <w:szCs w:val="44"/>
        </w:rPr>
      </w:pPr>
      <w:r w:rsidRPr="005430C9">
        <w:rPr>
          <w:color w:val="C00000"/>
          <w:sz w:val="44"/>
          <w:szCs w:val="44"/>
        </w:rPr>
        <w:t>Review Sealed Linear Encoder Catalog</w:t>
      </w:r>
      <w:r>
        <w:rPr>
          <w:color w:val="C00000"/>
          <w:sz w:val="44"/>
          <w:szCs w:val="44"/>
        </w:rPr>
        <w:t xml:space="preserve"> </w:t>
      </w:r>
    </w:p>
    <w:sectPr w:rsidR="00C249D7" w:rsidRPr="005430C9" w:rsidSect="00C249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12532"/>
    <w:rsid w:val="001024A8"/>
    <w:rsid w:val="00112532"/>
    <w:rsid w:val="004D043A"/>
    <w:rsid w:val="005430C9"/>
    <w:rsid w:val="00592C4B"/>
    <w:rsid w:val="00C249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9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4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097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118</Words>
  <Characters>676</Characters>
  <Application>Microsoft Office Word</Application>
  <DocSecurity>0</DocSecurity>
  <Lines>5</Lines>
  <Paragraphs>1</Paragraphs>
  <ScaleCrop>false</ScaleCrop>
  <Company>SPC</Company>
  <LinksUpToDate>false</LinksUpToDate>
  <CharactersWithSpaces>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 Staehle</dc:creator>
  <cp:keywords/>
  <dc:description/>
  <cp:lastModifiedBy>Dan Staehle</cp:lastModifiedBy>
  <cp:revision>3</cp:revision>
  <dcterms:created xsi:type="dcterms:W3CDTF">2009-04-17T14:04:00Z</dcterms:created>
  <dcterms:modified xsi:type="dcterms:W3CDTF">2009-04-25T20:08:00Z</dcterms:modified>
</cp:coreProperties>
</file>